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55" w:rsidRPr="009D7755" w:rsidRDefault="009D7755" w:rsidP="000606C7">
      <w:pPr>
        <w:spacing w:after="0"/>
        <w:rPr>
          <w:rFonts w:ascii="Titillium Web" w:hAnsi="Titillium Web"/>
          <w:b/>
        </w:rPr>
      </w:pPr>
      <w:r w:rsidRPr="009D7755">
        <w:rPr>
          <w:rFonts w:ascii="Titillium Web" w:hAnsi="Titillium Web"/>
          <w:b/>
        </w:rPr>
        <w:t>Vergaberechtlich</w:t>
      </w:r>
      <w:r w:rsidR="002D1143">
        <w:rPr>
          <w:rFonts w:ascii="Titillium Web" w:hAnsi="Titillium Web"/>
          <w:b/>
        </w:rPr>
        <w:t>e</w:t>
      </w:r>
      <w:r w:rsidRPr="009D7755">
        <w:rPr>
          <w:rFonts w:ascii="Titillium Web" w:hAnsi="Titillium Web"/>
          <w:b/>
        </w:rPr>
        <w:t xml:space="preserve"> Fragen und Umgang mit Bauablaufstörungen (BMWI 27.03.2020)</w:t>
      </w:r>
    </w:p>
    <w:p w:rsidR="00880F93" w:rsidRPr="009D7755" w:rsidRDefault="009D7755" w:rsidP="000606C7">
      <w:pPr>
        <w:spacing w:after="0"/>
        <w:rPr>
          <w:rFonts w:ascii="Titillium Web" w:hAnsi="Titillium Web"/>
        </w:rPr>
      </w:pPr>
      <w:r w:rsidRPr="009D7755">
        <w:rPr>
          <w:rFonts w:ascii="Titillium Web" w:hAnsi="Titillium Web"/>
        </w:rPr>
        <w:t>Erlass BW I 7 70406/21#1 vom 23.03.2020</w:t>
      </w:r>
    </w:p>
    <w:p w:rsid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Rundschreiben BMWi vom 19.03.2020 </w:t>
      </w:r>
    </w:p>
    <w:p w:rsidR="002D1143" w:rsidRDefault="002D1143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2D1143" w:rsidRDefault="002D1143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9D7755" w:rsidRPr="009D7755" w:rsidRDefault="009D7755" w:rsidP="000606C7">
      <w:pPr>
        <w:spacing w:after="0"/>
        <w:rPr>
          <w:rFonts w:ascii="Titillium Web" w:hAnsi="Titillium Web"/>
        </w:rPr>
      </w:pPr>
      <w:r w:rsidRPr="009D7755">
        <w:rPr>
          <w:rFonts w:ascii="Titillium Web" w:hAnsi="Titillium Web"/>
        </w:rPr>
        <w:t>Hinweisblatt für den Umgang mit Bauablaufstörungen</w:t>
      </w: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>In Ergänzung der zu Fragen des Bauvertragsr</w:t>
      </w:r>
      <w:r>
        <w:rPr>
          <w:rFonts w:ascii="Titillium Web" w:hAnsi="Titillium Web"/>
          <w:sz w:val="22"/>
          <w:szCs w:val="22"/>
        </w:rPr>
        <w:t>echts ergangenen Regelungen (Be</w:t>
      </w:r>
      <w:r w:rsidRPr="009D7755">
        <w:rPr>
          <w:rFonts w:ascii="Titillium Web" w:hAnsi="Titillium Web"/>
          <w:sz w:val="22"/>
          <w:szCs w:val="22"/>
        </w:rPr>
        <w:t xml:space="preserve">zugserlass) </w:t>
      </w:r>
      <w:r>
        <w:rPr>
          <w:rFonts w:ascii="Titillium Web" w:hAnsi="Titillium Web"/>
          <w:sz w:val="22"/>
          <w:szCs w:val="22"/>
        </w:rPr>
        <w:t>werden</w:t>
      </w:r>
      <w:r w:rsidRPr="009D7755">
        <w:rPr>
          <w:rFonts w:ascii="Titillium Web" w:hAnsi="Titillium Web"/>
          <w:sz w:val="22"/>
          <w:szCs w:val="22"/>
        </w:rPr>
        <w:t xml:space="preserve"> zum Umgang mit den durch die COVID-19-Pandemie auftretenden vergaberechtlichen Fragen die folgenden Hinweise</w:t>
      </w:r>
      <w:r>
        <w:rPr>
          <w:rFonts w:ascii="Titillium Web" w:hAnsi="Titillium Web"/>
          <w:sz w:val="22"/>
          <w:szCs w:val="22"/>
        </w:rPr>
        <w:t xml:space="preserve"> gegeben</w:t>
      </w:r>
      <w:r w:rsidRPr="009D7755">
        <w:rPr>
          <w:rFonts w:ascii="Titillium Web" w:hAnsi="Titillium Web"/>
          <w:sz w:val="22"/>
          <w:szCs w:val="22"/>
        </w:rPr>
        <w:t xml:space="preserve">: </w:t>
      </w:r>
    </w:p>
    <w:p w:rsidR="009D7755" w:rsidRDefault="009D7755" w:rsidP="000606C7">
      <w:pPr>
        <w:pStyle w:val="Default"/>
        <w:rPr>
          <w:rFonts w:ascii="Titillium Web" w:hAnsi="Titillium Web"/>
          <w:b/>
          <w:bCs/>
          <w:sz w:val="22"/>
          <w:szCs w:val="22"/>
        </w:rPr>
      </w:pPr>
    </w:p>
    <w:p w:rsidR="009D7755" w:rsidRPr="009D7755" w:rsidRDefault="009D7755" w:rsidP="000606C7">
      <w:pPr>
        <w:pStyle w:val="Default"/>
        <w:jc w:val="center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I</w:t>
      </w: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Ausschreibungsreife Gewerke sind weiterhin zu vergeben. </w:t>
      </w:r>
    </w:p>
    <w:p w:rsidR="009D7755" w:rsidRDefault="009D7755" w:rsidP="000606C7">
      <w:pPr>
        <w:spacing w:after="0"/>
        <w:rPr>
          <w:rFonts w:ascii="Titillium Web" w:hAnsi="Titillium Web"/>
        </w:rPr>
      </w:pPr>
      <w:r w:rsidRPr="009D7755">
        <w:rPr>
          <w:rFonts w:ascii="Titillium Web" w:hAnsi="Titillium Web"/>
        </w:rPr>
        <w:t>Planungen sind fortzusetzen und weitere Bauvorhaben zur Ausschreibung zu führen.</w:t>
      </w:r>
    </w:p>
    <w:p w:rsidR="000606C7" w:rsidRPr="009D7755" w:rsidRDefault="000606C7" w:rsidP="000606C7">
      <w:pPr>
        <w:spacing w:after="0"/>
        <w:rPr>
          <w:rFonts w:ascii="Titillium Web" w:hAnsi="Titillium Web"/>
        </w:rPr>
      </w:pPr>
    </w:p>
    <w:p w:rsidR="00482C37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II</w:t>
      </w:r>
    </w:p>
    <w:p w:rsidR="009D7755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Rückgriff auf Verhandlungsverfahren und freihändige Vergaben aufgrund besonderer Dringlichkeit</w:t>
      </w:r>
    </w:p>
    <w:p w:rsidR="00482C37" w:rsidRPr="009D7755" w:rsidRDefault="00482C37" w:rsidP="000606C7">
      <w:pPr>
        <w:pStyle w:val="Default"/>
        <w:jc w:val="center"/>
        <w:rPr>
          <w:rFonts w:ascii="Titillium Web" w:hAnsi="Titillium Web"/>
          <w:sz w:val="22"/>
          <w:szCs w:val="22"/>
        </w:rPr>
      </w:pPr>
    </w:p>
    <w:p w:rsid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Die im Rundschreiben des BMWi vom 19.03.2020 (Anlage) gegebenen Hinweise gelten für Bauaufträge, die der Eindämmung der COVID-19-Pandemie dienen, analog. Hierfür kommen z.B. in Betracht: </w:t>
      </w:r>
    </w:p>
    <w:p w:rsidR="00482C37" w:rsidRPr="009D7755" w:rsidRDefault="00482C37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− kurzfristige Schaffung zusätzlicher Kapazitäten im Krankenhausbereich, </w:t>
      </w: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− Umbauten und Ausstattung zur Erhöhung der Anzahl von Videokonferenz-räumen, </w:t>
      </w: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− Einbau von Trennwänden zur Separierung mehrfach belegter Büros. </w:t>
      </w: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Die Aufzählung ist ausdrücklich nicht abschließend, entscheidend ist jedoch, dass die Bauaufträge der Eindämmung der Pandemie dienen. </w:t>
      </w:r>
    </w:p>
    <w:p w:rsid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Bei Baumaßnahmen, die nicht der Eindämmung der COVID-19-Pandemie dienen, ist das Rundschreiben des BMWi nicht anzuwenden. </w:t>
      </w:r>
    </w:p>
    <w:p w:rsidR="00482C37" w:rsidRPr="009D7755" w:rsidRDefault="00482C37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482C37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III</w:t>
      </w:r>
    </w:p>
    <w:p w:rsidR="009D7755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Hinweis auf Umgang mit Bauablaufstörungen</w:t>
      </w:r>
    </w:p>
    <w:p w:rsidR="00482C37" w:rsidRPr="009D7755" w:rsidRDefault="00482C37" w:rsidP="000606C7">
      <w:pPr>
        <w:pStyle w:val="Default"/>
        <w:jc w:val="center"/>
        <w:rPr>
          <w:rFonts w:ascii="Titillium Web" w:hAnsi="Titillium Web"/>
          <w:sz w:val="22"/>
          <w:szCs w:val="22"/>
        </w:rPr>
      </w:pP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>Für neu abzuschließende Verträge ist den Ausschreibungsunterlagen das beigefügte Hinweisblatt zum Umgang mit Bauablaufstörungen im Zusammenhang mit der CO-VID-19-Pandemie beizufügen. In der Aufforderung</w:t>
      </w:r>
      <w:r w:rsidR="00482C37">
        <w:rPr>
          <w:rFonts w:ascii="Titillium Web" w:hAnsi="Titillium Web"/>
          <w:sz w:val="22"/>
          <w:szCs w:val="22"/>
        </w:rPr>
        <w:t xml:space="preserve"> zur Angebotsabgabe ist das Hin</w:t>
      </w:r>
      <w:r w:rsidRPr="009D7755">
        <w:rPr>
          <w:rFonts w:ascii="Titillium Web" w:hAnsi="Titillium Web"/>
          <w:sz w:val="22"/>
          <w:szCs w:val="22"/>
        </w:rPr>
        <w:t xml:space="preserve">weisblatt im Anlagenverzeichnis unter Buchstabe A) aufzunehmen. </w:t>
      </w:r>
    </w:p>
    <w:p w:rsid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Damit wird klargestellt, dass die Folgen der COVID-19-Pandemie für den einzelnen Bauvertrag weiterhin unvorhersehbar sind, der Tatbestand der höheren Gewalt also auch bei Neuverträgen </w:t>
      </w:r>
      <w:r w:rsidRPr="009D7755">
        <w:rPr>
          <w:rFonts w:ascii="Titillium Web" w:hAnsi="Titillium Web"/>
          <w:sz w:val="22"/>
          <w:szCs w:val="22"/>
        </w:rPr>
        <w:lastRenderedPageBreak/>
        <w:t xml:space="preserve">ausgelöst werden kann. Neu abzuschließende Verträge sind insoweit also in gleicher Weise zu behandeln wie Bestandsverträge. </w:t>
      </w:r>
    </w:p>
    <w:p w:rsidR="00482C37" w:rsidRPr="009D7755" w:rsidRDefault="00482C37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482C37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IV</w:t>
      </w:r>
    </w:p>
    <w:p w:rsidR="009D7755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Vorlage aktueller Bescheinigungen</w:t>
      </w:r>
    </w:p>
    <w:p w:rsidR="00482C37" w:rsidRPr="009D7755" w:rsidRDefault="00482C37" w:rsidP="000606C7">
      <w:pPr>
        <w:pStyle w:val="Default"/>
        <w:jc w:val="center"/>
        <w:rPr>
          <w:rFonts w:ascii="Titillium Web" w:hAnsi="Titillium Web"/>
          <w:sz w:val="22"/>
          <w:szCs w:val="22"/>
        </w:rPr>
      </w:pPr>
    </w:p>
    <w:p w:rsidR="009D7755" w:rsidRPr="009D7755" w:rsidRDefault="009D7755" w:rsidP="000606C7">
      <w:pPr>
        <w:spacing w:after="0"/>
        <w:rPr>
          <w:rFonts w:ascii="Titillium Web" w:hAnsi="Titillium Web"/>
        </w:rPr>
      </w:pPr>
      <w:r w:rsidRPr="009D7755">
        <w:rPr>
          <w:rFonts w:ascii="Titillium Web" w:hAnsi="Titillium Web"/>
        </w:rPr>
        <w:t>Können Unternehmen trotz rechtzeitiger Beantragun</w:t>
      </w:r>
      <w:r w:rsidR="00482C37">
        <w:rPr>
          <w:rFonts w:ascii="Titillium Web" w:hAnsi="Titillium Web"/>
        </w:rPr>
        <w:t>g von Dritten ausgestellte aktu</w:t>
      </w:r>
      <w:r w:rsidRPr="009D7755">
        <w:rPr>
          <w:rFonts w:ascii="Titillium Web" w:hAnsi="Titillium Web"/>
        </w:rPr>
        <w:t>elle Bescheinigungen (z.B. Unbedenklichkeitsbescheinigungen) nicht re</w:t>
      </w:r>
      <w:r w:rsidR="00482C37">
        <w:rPr>
          <w:rFonts w:ascii="Titillium Web" w:hAnsi="Titillium Web"/>
        </w:rPr>
        <w:t>chtzeitig bei</w:t>
      </w:r>
      <w:r w:rsidRPr="009D7755">
        <w:rPr>
          <w:rFonts w:ascii="Titillium Web" w:hAnsi="Titillium Web"/>
        </w:rPr>
        <w:t>bringen, weil sich die Ausstellung infolge der COVID-19-Pandemie verzögert, ist an Stelle der Bescheinigung eine Eigenerklärung darüber, dass die Voraussetzungen für</w:t>
      </w:r>
      <w:r w:rsidR="00482C37">
        <w:rPr>
          <w:rFonts w:ascii="Titillium Web" w:hAnsi="Titillium Web"/>
        </w:rPr>
        <w:t xml:space="preserve"> </w:t>
      </w:r>
      <w:r w:rsidRPr="009D7755">
        <w:rPr>
          <w:rFonts w:ascii="Titillium Web" w:hAnsi="Titillium Web"/>
        </w:rPr>
        <w:t xml:space="preserve">die Erteilung weiterhin bestehen, zuzulassen, wenn </w:t>
      </w:r>
      <w:r w:rsidR="00482C37">
        <w:rPr>
          <w:rFonts w:ascii="Titillium Web" w:hAnsi="Titillium Web"/>
        </w:rPr>
        <w:t>alle der folgenden Voraussetzun</w:t>
      </w:r>
      <w:r w:rsidRPr="009D7755">
        <w:rPr>
          <w:rFonts w:ascii="Titillium Web" w:hAnsi="Titillium Web"/>
        </w:rPr>
        <w:t xml:space="preserve">gen gegeben sind: </w:t>
      </w: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• Eine kürzlich abgelaufene Bescheinigung kann vorgelegt werden. </w:t>
      </w: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• Es bestehen keine begründeten Zweifel, dass das Unternehmen auch nach Ablauf der Gültigkeit seinen für die Ausstellung der Bescheinigung erforderlichen Verpflichtungen nachgekommen ist. </w:t>
      </w: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• Der Antrag zur Ausstellung der geforderten Bescheinigungen ist der Eigenerklärung beizufügen. Die Antragseinreichung ist entbehrlich, wenn die ausgebende Stelle offenkundig ihre Tätigkeit vorübergehend eingestellt hat. </w:t>
      </w: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Für die Fortführung der Präqualifizierung von Unternehmen, die wegen der COVID-19-Pandemie die Nachweise gemäß Nummern 7, 8, </w:t>
      </w:r>
      <w:r w:rsidR="00482C37">
        <w:rPr>
          <w:rFonts w:ascii="Titillium Web" w:hAnsi="Titillium Web"/>
          <w:sz w:val="22"/>
          <w:szCs w:val="22"/>
        </w:rPr>
        <w:t>11 und 12 der Anlage 1 zur Leit</w:t>
      </w:r>
      <w:r w:rsidRPr="009D7755">
        <w:rPr>
          <w:rFonts w:ascii="Titillium Web" w:hAnsi="Titillium Web"/>
          <w:sz w:val="22"/>
          <w:szCs w:val="22"/>
        </w:rPr>
        <w:t>linie des BMI vom 19. August 2020 nicht rechtzeitig v</w:t>
      </w:r>
      <w:r w:rsidR="00482C37">
        <w:rPr>
          <w:rFonts w:ascii="Titillium Web" w:hAnsi="Titillium Web"/>
          <w:sz w:val="22"/>
          <w:szCs w:val="22"/>
        </w:rPr>
        <w:t>orlegen können, wird die Leitli</w:t>
      </w:r>
      <w:r w:rsidRPr="009D7755">
        <w:rPr>
          <w:rFonts w:ascii="Titillium Web" w:hAnsi="Titillium Web"/>
          <w:sz w:val="22"/>
          <w:szCs w:val="22"/>
        </w:rPr>
        <w:t xml:space="preserve">nie vorübergehend ergänzt, die Ergänzung im Bundesanzeiger bekannt gemacht und der PQ-Verein über die Ergänzung der Leitlinie informiert. </w:t>
      </w:r>
    </w:p>
    <w:p w:rsidR="00482C37" w:rsidRPr="009D7755" w:rsidRDefault="00482C37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482C37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V</w:t>
      </w:r>
    </w:p>
    <w:p w:rsidR="009D7755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Angebots-/Vertragsfristen</w:t>
      </w:r>
    </w:p>
    <w:p w:rsidR="00482C37" w:rsidRPr="009D7755" w:rsidRDefault="00482C37" w:rsidP="000606C7">
      <w:pPr>
        <w:pStyle w:val="Default"/>
        <w:jc w:val="center"/>
        <w:rPr>
          <w:rFonts w:ascii="Titillium Web" w:hAnsi="Titillium Web"/>
          <w:sz w:val="22"/>
          <w:szCs w:val="22"/>
        </w:rPr>
      </w:pPr>
    </w:p>
    <w:p w:rsid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>Soweit die Terminsituation der Baumaßnahme es zulässt</w:t>
      </w:r>
      <w:r w:rsidR="00482C37">
        <w:rPr>
          <w:rFonts w:ascii="Titillium Web" w:hAnsi="Titillium Web"/>
          <w:sz w:val="22"/>
          <w:szCs w:val="22"/>
        </w:rPr>
        <w:t>,</w:t>
      </w:r>
      <w:r w:rsidRPr="009D7755">
        <w:rPr>
          <w:rFonts w:ascii="Titillium Web" w:hAnsi="Titillium Web"/>
          <w:sz w:val="22"/>
          <w:szCs w:val="22"/>
        </w:rPr>
        <w:t xml:space="preserve"> sind zur Erhaltung des Wettbewerbes in den Vergabeunterlagen die Angebotsfristen und ggf. die Vertragsfristen (z.B. Beginn der Baumaßnahme) der aktuellen Sit</w:t>
      </w:r>
      <w:r w:rsidR="00482C37">
        <w:rPr>
          <w:rFonts w:ascii="Titillium Web" w:hAnsi="Titillium Web"/>
          <w:sz w:val="22"/>
          <w:szCs w:val="22"/>
        </w:rPr>
        <w:t>uation angepasst zu bemes</w:t>
      </w:r>
      <w:r w:rsidRPr="009D7755">
        <w:rPr>
          <w:rFonts w:ascii="Titillium Web" w:hAnsi="Titillium Web"/>
          <w:sz w:val="22"/>
          <w:szCs w:val="22"/>
        </w:rPr>
        <w:t>sen und ist bei Eingang von darauf gerichteten Ant</w:t>
      </w:r>
      <w:r w:rsidR="00482C37">
        <w:rPr>
          <w:rFonts w:ascii="Titillium Web" w:hAnsi="Titillium Web"/>
          <w:sz w:val="22"/>
          <w:szCs w:val="22"/>
        </w:rPr>
        <w:t>rägen der Unternehmen der Frist</w:t>
      </w:r>
      <w:r w:rsidRPr="009D7755">
        <w:rPr>
          <w:rFonts w:ascii="Titillium Web" w:hAnsi="Titillium Web"/>
          <w:sz w:val="22"/>
          <w:szCs w:val="22"/>
        </w:rPr>
        <w:t xml:space="preserve">ablauf für alle Unternehmen in gleichem Maße möglichst zu verschieben. Gleiches gilt in Bezug auf Teilnahmeanträge und auf Gespräche in Verhandlungsverfahren. </w:t>
      </w:r>
    </w:p>
    <w:p w:rsidR="00482C37" w:rsidRPr="009D7755" w:rsidRDefault="00482C37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482C37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VI</w:t>
      </w:r>
    </w:p>
    <w:p w:rsidR="009D7755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Eröffnungstermin entsprechend § 14a VOB/A</w:t>
      </w:r>
    </w:p>
    <w:p w:rsidR="00482C37" w:rsidRPr="009D7755" w:rsidRDefault="00482C37" w:rsidP="000606C7">
      <w:pPr>
        <w:pStyle w:val="Default"/>
        <w:jc w:val="center"/>
        <w:rPr>
          <w:rFonts w:ascii="Titillium Web" w:hAnsi="Titillium Web"/>
          <w:sz w:val="22"/>
          <w:szCs w:val="22"/>
        </w:rPr>
      </w:pP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>Kann wegen Zugangsbeschränkungen zu den Dienstgebäuden oder Kontaktverboten kein Eröffnungstermin stattfinden, ist zunäc</w:t>
      </w:r>
      <w:r w:rsidR="00482C37">
        <w:rPr>
          <w:rFonts w:ascii="Titillium Web" w:hAnsi="Titillium Web"/>
          <w:sz w:val="22"/>
          <w:szCs w:val="22"/>
        </w:rPr>
        <w:t>hst zu prüfen, ob das Ausschrei</w:t>
      </w:r>
      <w:r w:rsidRPr="009D7755">
        <w:rPr>
          <w:rFonts w:ascii="Titillium Web" w:hAnsi="Titillium Web"/>
          <w:sz w:val="22"/>
          <w:szCs w:val="22"/>
        </w:rPr>
        <w:t>bungsverfahren ausschließlich elektronisch, also übe</w:t>
      </w:r>
      <w:r w:rsidR="00482C37">
        <w:rPr>
          <w:rFonts w:ascii="Titillium Web" w:hAnsi="Titillium Web"/>
          <w:sz w:val="22"/>
          <w:szCs w:val="22"/>
        </w:rPr>
        <w:t>r die e-Vergabe-Plattform statt</w:t>
      </w:r>
      <w:r w:rsidRPr="009D7755">
        <w:rPr>
          <w:rFonts w:ascii="Titillium Web" w:hAnsi="Titillium Web"/>
          <w:sz w:val="22"/>
          <w:szCs w:val="22"/>
        </w:rPr>
        <w:t xml:space="preserve">finden kann. </w:t>
      </w:r>
    </w:p>
    <w:p w:rsidR="009D7755" w:rsidRPr="009D7755" w:rsidRDefault="009D7755" w:rsidP="000606C7">
      <w:pPr>
        <w:spacing w:after="0"/>
        <w:rPr>
          <w:rFonts w:ascii="Titillium Web" w:hAnsi="Titillium Web"/>
        </w:rPr>
      </w:pPr>
      <w:r w:rsidRPr="009D7755">
        <w:rPr>
          <w:rFonts w:ascii="Titillium Web" w:hAnsi="Titillium Web"/>
        </w:rPr>
        <w:t>Ist elektronische Vergabe nicht möglich, sind die Bi</w:t>
      </w:r>
      <w:r w:rsidR="00482C37">
        <w:rPr>
          <w:rFonts w:ascii="Titillium Web" w:hAnsi="Titillium Web"/>
        </w:rPr>
        <w:t>eter über den Entfall des Eröff</w:t>
      </w:r>
      <w:r w:rsidRPr="009D7755">
        <w:rPr>
          <w:rFonts w:ascii="Titillium Web" w:hAnsi="Titillium Web"/>
        </w:rPr>
        <w:t>nungstermins zu informieren. In diesem Fall ist ein Öffnungstermin entsprechend</w:t>
      </w:r>
    </w:p>
    <w:p w:rsidR="00482C37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lastRenderedPageBreak/>
        <w:t>§ 14 VOB/A durchzuführen, bei schriftlichen Ange</w:t>
      </w:r>
      <w:r w:rsidR="00482C37">
        <w:rPr>
          <w:rFonts w:ascii="Titillium Web" w:hAnsi="Titillium Web"/>
          <w:sz w:val="22"/>
          <w:szCs w:val="22"/>
        </w:rPr>
        <w:t>boten ist zu prüfen, ob der Ver</w:t>
      </w:r>
      <w:r w:rsidRPr="009D7755">
        <w:rPr>
          <w:rFonts w:ascii="Titillium Web" w:hAnsi="Titillium Web"/>
          <w:sz w:val="22"/>
          <w:szCs w:val="22"/>
        </w:rPr>
        <w:t>schluss unversehrt ist. In Ausschreibungsverfahren sind den Bietern die Ang</w:t>
      </w:r>
      <w:r w:rsidR="00482C37">
        <w:rPr>
          <w:rFonts w:ascii="Titillium Web" w:hAnsi="Titillium Web"/>
          <w:sz w:val="22"/>
          <w:szCs w:val="22"/>
        </w:rPr>
        <w:t>aben ge</w:t>
      </w:r>
      <w:r w:rsidRPr="009D7755">
        <w:rPr>
          <w:rFonts w:ascii="Titillium Web" w:hAnsi="Titillium Web"/>
          <w:sz w:val="22"/>
          <w:szCs w:val="22"/>
        </w:rPr>
        <w:t>mäß § 14 Absatz 3 Buchstabe a bis d VOB/A unv</w:t>
      </w:r>
      <w:r w:rsidR="00482C37">
        <w:rPr>
          <w:rFonts w:ascii="Titillium Web" w:hAnsi="Titillium Web"/>
          <w:sz w:val="22"/>
          <w:szCs w:val="22"/>
        </w:rPr>
        <w:t>erzüglich im vereinbarten Kommu</w:t>
      </w:r>
      <w:r w:rsidRPr="009D7755">
        <w:rPr>
          <w:rFonts w:ascii="Titillium Web" w:hAnsi="Titillium Web"/>
          <w:sz w:val="22"/>
          <w:szCs w:val="22"/>
        </w:rPr>
        <w:t>nikationsweg zur Verfügung zu stellen.</w:t>
      </w: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 </w:t>
      </w:r>
      <w:bookmarkStart w:id="0" w:name="_GoBack"/>
      <w:bookmarkEnd w:id="0"/>
    </w:p>
    <w:p w:rsidR="00482C37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VII</w:t>
      </w:r>
    </w:p>
    <w:p w:rsidR="009D7755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Vertragsstrafen</w:t>
      </w:r>
    </w:p>
    <w:p w:rsidR="00482C37" w:rsidRPr="009D7755" w:rsidRDefault="00482C37" w:rsidP="000606C7">
      <w:pPr>
        <w:pStyle w:val="Default"/>
        <w:jc w:val="center"/>
        <w:rPr>
          <w:rFonts w:ascii="Titillium Web" w:hAnsi="Titillium Web"/>
          <w:sz w:val="22"/>
          <w:szCs w:val="22"/>
        </w:rPr>
      </w:pPr>
    </w:p>
    <w:p w:rsid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In Anbetracht der durch die COVID-19-Pandemie hervorgerufenen Unsicherheiten hinsichtlich der Bauabwicklung sind Vertragsstrafen nur im Ausnahmefall vorzusehen. </w:t>
      </w:r>
    </w:p>
    <w:p w:rsidR="00482C37" w:rsidRPr="009D7755" w:rsidRDefault="00482C37" w:rsidP="000606C7">
      <w:pPr>
        <w:pStyle w:val="Default"/>
        <w:rPr>
          <w:rFonts w:ascii="Titillium Web" w:hAnsi="Titillium Web"/>
          <w:sz w:val="22"/>
          <w:szCs w:val="22"/>
        </w:rPr>
      </w:pPr>
    </w:p>
    <w:p w:rsidR="00482C37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VIII</w:t>
      </w:r>
    </w:p>
    <w:p w:rsidR="009D7755" w:rsidRDefault="009D7755" w:rsidP="000606C7">
      <w:pPr>
        <w:pStyle w:val="Default"/>
        <w:jc w:val="center"/>
        <w:rPr>
          <w:rFonts w:ascii="Titillium Web" w:hAnsi="Titillium Web"/>
          <w:b/>
          <w:bCs/>
          <w:sz w:val="22"/>
          <w:szCs w:val="22"/>
        </w:rPr>
      </w:pPr>
      <w:r w:rsidRPr="009D7755">
        <w:rPr>
          <w:rFonts w:ascii="Titillium Web" w:hAnsi="Titillium Web"/>
          <w:b/>
          <w:bCs/>
          <w:sz w:val="22"/>
          <w:szCs w:val="22"/>
        </w:rPr>
        <w:t>Geltungsdauer</w:t>
      </w:r>
    </w:p>
    <w:p w:rsidR="00482C37" w:rsidRPr="009D7755" w:rsidRDefault="00482C37" w:rsidP="000606C7">
      <w:pPr>
        <w:pStyle w:val="Default"/>
        <w:jc w:val="center"/>
        <w:rPr>
          <w:rFonts w:ascii="Titillium Web" w:hAnsi="Titillium Web"/>
          <w:sz w:val="22"/>
          <w:szCs w:val="22"/>
        </w:rPr>
      </w:pPr>
    </w:p>
    <w:p w:rsidR="009D7755" w:rsidRPr="009D7755" w:rsidRDefault="009D7755" w:rsidP="000606C7">
      <w:pPr>
        <w:pStyle w:val="Default"/>
        <w:rPr>
          <w:rFonts w:ascii="Titillium Web" w:hAnsi="Titillium Web"/>
          <w:sz w:val="22"/>
          <w:szCs w:val="22"/>
        </w:rPr>
      </w:pPr>
      <w:r w:rsidRPr="009D7755">
        <w:rPr>
          <w:rFonts w:ascii="Titillium Web" w:hAnsi="Titillium Web"/>
          <w:sz w:val="22"/>
          <w:szCs w:val="22"/>
        </w:rPr>
        <w:t xml:space="preserve">Die Regelungen gelten bis auf Weiteres. </w:t>
      </w:r>
    </w:p>
    <w:p w:rsidR="009D7755" w:rsidRPr="009D7755" w:rsidRDefault="009D7755" w:rsidP="000606C7">
      <w:pPr>
        <w:spacing w:after="0"/>
        <w:rPr>
          <w:rFonts w:ascii="Titillium Web" w:hAnsi="Titillium Web"/>
        </w:rPr>
      </w:pPr>
      <w:r w:rsidRPr="009D7755">
        <w:rPr>
          <w:rFonts w:ascii="Titillium Web" w:hAnsi="Titillium Web"/>
        </w:rPr>
        <w:t xml:space="preserve">Auch hier </w:t>
      </w:r>
      <w:r w:rsidR="00482C37">
        <w:rPr>
          <w:rFonts w:ascii="Titillium Web" w:hAnsi="Titillium Web"/>
        </w:rPr>
        <w:t>wird</w:t>
      </w:r>
      <w:r w:rsidRPr="009D7755">
        <w:rPr>
          <w:rFonts w:ascii="Titillium Web" w:hAnsi="Titillium Web"/>
        </w:rPr>
        <w:t xml:space="preserve"> ausdrücklich darauf hin</w:t>
      </w:r>
      <w:r w:rsidR="00482C37">
        <w:rPr>
          <w:rFonts w:ascii="Titillium Web" w:hAnsi="Titillium Web"/>
        </w:rPr>
        <w:t>gewiesen</w:t>
      </w:r>
      <w:r w:rsidRPr="009D7755">
        <w:rPr>
          <w:rFonts w:ascii="Titillium Web" w:hAnsi="Titillium Web"/>
        </w:rPr>
        <w:t>, dass der Erlass in Anpassung an die sich dynamisch entwickelnde Situation ergänzt, ggf. auch geändert werden kann.</w:t>
      </w:r>
    </w:p>
    <w:sectPr w:rsidR="009D7755" w:rsidRPr="009D7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55"/>
    <w:rsid w:val="000606C7"/>
    <w:rsid w:val="002D1143"/>
    <w:rsid w:val="00482C37"/>
    <w:rsid w:val="006F0B21"/>
    <w:rsid w:val="00880F93"/>
    <w:rsid w:val="009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B17B"/>
  <w15:chartTrackingRefBased/>
  <w15:docId w15:val="{4668D480-2353-49CE-9CEB-F8AE2078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7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Marzulla</dc:creator>
  <cp:keywords/>
  <dc:description/>
  <cp:lastModifiedBy>Christine Marzulla</cp:lastModifiedBy>
  <cp:revision>2</cp:revision>
  <dcterms:created xsi:type="dcterms:W3CDTF">2020-03-30T13:12:00Z</dcterms:created>
  <dcterms:modified xsi:type="dcterms:W3CDTF">2020-03-30T13:12:00Z</dcterms:modified>
</cp:coreProperties>
</file>