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A524" w14:textId="3D841385" w:rsidR="00ED5F5C" w:rsidRDefault="00ED5F5C">
      <w:bookmarkStart w:id="0" w:name="_GoBack"/>
      <w:bookmarkEnd w:id="0"/>
    </w:p>
    <w:tbl>
      <w:tblPr>
        <w:tblW w:w="10759" w:type="dxa"/>
        <w:jc w:val="center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1003"/>
        <w:gridCol w:w="144"/>
        <w:gridCol w:w="5242"/>
        <w:gridCol w:w="2379"/>
        <w:gridCol w:w="360"/>
      </w:tblGrid>
      <w:tr w:rsidR="00376DAB" w14:paraId="176D0607" w14:textId="77777777" w:rsidTr="00ED5F5C">
        <w:trPr>
          <w:trHeight w:val="1065"/>
          <w:jc w:val="center"/>
        </w:trPr>
        <w:tc>
          <w:tcPr>
            <w:tcW w:w="2634" w:type="dxa"/>
            <w:gridSpan w:val="3"/>
          </w:tcPr>
          <w:p w14:paraId="697D8EFF" w14:textId="5B3BEDA4" w:rsidR="00376DAB" w:rsidRPr="00ED5F5C" w:rsidRDefault="00376DAB" w:rsidP="00B741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F5C">
              <w:rPr>
                <w:rFonts w:asciiTheme="minorHAnsi" w:hAnsiTheme="minorHAnsi" w:cstheme="minorHAnsi"/>
                <w:sz w:val="22"/>
                <w:szCs w:val="22"/>
              </w:rPr>
              <w:t>Betrieb:</w:t>
            </w:r>
          </w:p>
        </w:tc>
        <w:tc>
          <w:tcPr>
            <w:tcW w:w="144" w:type="dxa"/>
          </w:tcPr>
          <w:p w14:paraId="0B592773" w14:textId="1C25997A" w:rsidR="00376DAB" w:rsidRPr="00484CB2" w:rsidRDefault="00376DAB" w:rsidP="00B741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2" w:type="dxa"/>
          </w:tcPr>
          <w:p w14:paraId="541C56D9" w14:textId="78D8A31F" w:rsidR="00376DAB" w:rsidRPr="001256D3" w:rsidRDefault="00376DAB" w:rsidP="001256D3">
            <w:pPr>
              <w:pStyle w:val="berschrift3"/>
              <w:spacing w:before="60" w:after="120"/>
              <w:rPr>
                <w:rFonts w:asciiTheme="minorHAnsi" w:hAnsiTheme="minorHAnsi" w:cstheme="minorHAnsi"/>
              </w:rPr>
            </w:pPr>
            <w:r w:rsidRPr="001256D3">
              <w:rPr>
                <w:rFonts w:asciiTheme="minorHAnsi" w:hAnsiTheme="minorHAnsi" w:cstheme="minorHAnsi"/>
                <w:sz w:val="28"/>
                <w:szCs w:val="12"/>
                <w:u w:val="single"/>
              </w:rPr>
              <w:t>Betriebsanweisung</w:t>
            </w:r>
          </w:p>
          <w:p w14:paraId="3BDB0DBD" w14:textId="334821B4" w:rsidR="00376DAB" w:rsidRPr="001256D3" w:rsidRDefault="00376DAB" w:rsidP="007E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56D3">
              <w:rPr>
                <w:rFonts w:asciiTheme="minorHAnsi" w:hAnsiTheme="minorHAnsi" w:cstheme="minorHAnsi"/>
                <w:b/>
                <w:bCs/>
              </w:rPr>
              <w:t>A</w:t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llgemeine Hygienemaßnahmen zum Schutz von</w:t>
            </w:r>
            <w:r w:rsidR="00ED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Virusinfektionen</w:t>
            </w:r>
            <w:r w:rsidR="00ED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Coronavirus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Disease 2019</w:t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Covid-19)</w:t>
            </w:r>
          </w:p>
          <w:p w14:paraId="10B210E8" w14:textId="1D14A3C2" w:rsidR="00376DAB" w:rsidRPr="001256D3" w:rsidRDefault="00376DAB" w:rsidP="007A3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2"/>
          </w:tcPr>
          <w:p w14:paraId="4D0D6F20" w14:textId="3EF52697" w:rsidR="00376DAB" w:rsidRPr="001256D3" w:rsidRDefault="00376DAB" w:rsidP="009A7DE6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3F1D0D">
              <w:rPr>
                <w:rFonts w:asciiTheme="minorHAnsi" w:hAnsiTheme="minorHAnsi" w:cstheme="minorHAnsi"/>
                <w:bCs/>
              </w:rPr>
              <w:t>Stand: 03/2020</w:t>
            </w:r>
          </w:p>
        </w:tc>
      </w:tr>
      <w:tr w:rsidR="0054151C" w14:paraId="59655B84" w14:textId="77777777" w:rsidTr="00DF3F75">
        <w:trPr>
          <w:trHeight w:val="250"/>
          <w:jc w:val="center"/>
        </w:trPr>
        <w:tc>
          <w:tcPr>
            <w:tcW w:w="10759" w:type="dxa"/>
            <w:gridSpan w:val="7"/>
            <w:shd w:val="clear" w:color="auto" w:fill="70AD47" w:themeFill="accent6"/>
          </w:tcPr>
          <w:p w14:paraId="4C8D077E" w14:textId="77777777" w:rsidR="0054151C" w:rsidRDefault="0054151C" w:rsidP="00625EE3">
            <w:pPr>
              <w:pStyle w:val="berschrift5"/>
              <w:spacing w:before="40" w:after="120"/>
            </w:pPr>
            <w:bookmarkStart w:id="1" w:name="_Hlk382810628"/>
            <w:r>
              <w:t>Gefahren für Mensch und Umwelt</w:t>
            </w:r>
          </w:p>
        </w:tc>
      </w:tr>
      <w:tr w:rsidR="0054151C" w14:paraId="01D6302F" w14:textId="77777777" w:rsidTr="00DF3F75">
        <w:trPr>
          <w:jc w:val="center"/>
        </w:trPr>
        <w:tc>
          <w:tcPr>
            <w:tcW w:w="1631" w:type="dxa"/>
            <w:gridSpan w:val="2"/>
          </w:tcPr>
          <w:p w14:paraId="2074C2A1" w14:textId="049C0918" w:rsidR="0054151C" w:rsidRDefault="007E6A13" w:rsidP="0054151C">
            <w:pPr>
              <w:pStyle w:val="Textkrper"/>
            </w:pPr>
            <w:r w:rsidRPr="007E6A1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1596BD" wp14:editId="35FEB53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63500</wp:posOffset>
                  </wp:positionV>
                  <wp:extent cx="571500" cy="575362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28" w:type="dxa"/>
            <w:gridSpan w:val="5"/>
          </w:tcPr>
          <w:p w14:paraId="02F1BF9C" w14:textId="77777777" w:rsidR="002B7D37" w:rsidRPr="00625EE3" w:rsidRDefault="00DF3F75" w:rsidP="00A13FEB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5EE3">
              <w:rPr>
                <w:rFonts w:ascii="Calibri" w:hAnsi="Calibri" w:cs="Calibri"/>
                <w:b/>
                <w:bCs/>
                <w:sz w:val="22"/>
                <w:szCs w:val="22"/>
              </w:rPr>
              <w:t>Übertragungsweg:</w:t>
            </w:r>
          </w:p>
          <w:p w14:paraId="3A5B4EA4" w14:textId="6B1AEC8D" w:rsidR="009276D6" w:rsidRPr="00DF3F75" w:rsidRDefault="00DF3F75" w:rsidP="00A13FEB">
            <w:pPr>
              <w:widowControl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Das Virus wird durch Tröpfchen über die Luft (Tröpfchen Infektion) oder über kontaminierte Hände auf die Schleimhäute (Mund, Nase, Augen) übertragen (Schmierinfektion)</w:t>
            </w:r>
          </w:p>
          <w:p w14:paraId="445C86EC" w14:textId="77777777" w:rsidR="002B7D37" w:rsidRPr="00625EE3" w:rsidRDefault="00DF3F75" w:rsidP="00A13FEB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5EE3">
              <w:rPr>
                <w:rFonts w:ascii="Calibri" w:hAnsi="Calibri" w:cs="Calibri"/>
                <w:b/>
                <w:bCs/>
                <w:sz w:val="22"/>
                <w:szCs w:val="22"/>
              </w:rPr>
              <w:t>Inkubationszeit:</w:t>
            </w:r>
          </w:p>
          <w:p w14:paraId="61E95522" w14:textId="1A121FD9" w:rsidR="001256D3" w:rsidRPr="00DF3F75" w:rsidRDefault="00DF3F75" w:rsidP="00A13FEB">
            <w:pPr>
              <w:widowControl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3F75">
              <w:rPr>
                <w:rFonts w:asciiTheme="minorHAnsi" w:hAnsiTheme="minorHAnsi" w:cstheme="minorHAnsi"/>
                <w:sz w:val="22"/>
                <w:szCs w:val="22"/>
              </w:rPr>
              <w:t>Nach einer Infektion kann es einige Tage bis zwei Wochen dauern, bis Krankheitszeichen auftreten.</w:t>
            </w:r>
          </w:p>
          <w:p w14:paraId="41A2EB92" w14:textId="77777777" w:rsidR="002B7D37" w:rsidRPr="00625EE3" w:rsidRDefault="00DF3F75" w:rsidP="00A13FEB">
            <w:pPr>
              <w:widowControl w:val="0"/>
              <w:adjustRightInd w:val="0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5EE3">
              <w:rPr>
                <w:rFonts w:ascii="Calibri" w:hAnsi="Calibri" w:cs="Calibri"/>
                <w:b/>
                <w:bCs/>
                <w:sz w:val="22"/>
                <w:szCs w:val="22"/>
              </w:rPr>
              <w:t>Gesundheitliche Wirkungen:</w:t>
            </w:r>
          </w:p>
          <w:p w14:paraId="256A80A6" w14:textId="190DCDF5" w:rsidR="0054151C" w:rsidRPr="004D33E3" w:rsidRDefault="00DF3F75" w:rsidP="00A13FEB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Infektionen verlaufen meist mild und asymptomatisch. Möglich sind auch akute Krankheitssympt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me, z.B. Atemwegserkrankungen mit Fieber, Husten und Atembeschwerden. </w:t>
            </w:r>
            <w:r w:rsidR="00D04CC8" w:rsidRPr="00DF3F75">
              <w:rPr>
                <w:rFonts w:asciiTheme="minorHAnsi" w:hAnsiTheme="minorHAnsi" w:cstheme="minorHAnsi"/>
                <w:sz w:val="22"/>
                <w:szCs w:val="22"/>
              </w:rPr>
              <w:t xml:space="preserve">Hohe </w:t>
            </w:r>
            <w:r w:rsidR="00376BA6" w:rsidRPr="00DF3F75">
              <w:rPr>
                <w:rFonts w:asciiTheme="minorHAnsi" w:hAnsiTheme="minorHAnsi" w:cstheme="minorHAnsi"/>
                <w:sz w:val="22"/>
                <w:szCs w:val="22"/>
              </w:rPr>
              <w:t xml:space="preserve">Gefährdung für Personen mit Vorschädigungen z.B. Asthmatiker, </w:t>
            </w:r>
            <w:r w:rsidR="007E6A13" w:rsidRPr="00DF3F75">
              <w:rPr>
                <w:rFonts w:asciiTheme="minorHAnsi" w:hAnsiTheme="minorHAnsi" w:cstheme="minorHAnsi"/>
                <w:sz w:val="22"/>
                <w:szCs w:val="22"/>
              </w:rPr>
              <w:t xml:space="preserve">Herz- und </w:t>
            </w:r>
            <w:r w:rsidR="00376BA6" w:rsidRPr="00DF3F75">
              <w:rPr>
                <w:rFonts w:asciiTheme="minorHAnsi" w:hAnsiTheme="minorHAnsi" w:cstheme="minorHAnsi"/>
                <w:sz w:val="22"/>
                <w:szCs w:val="22"/>
              </w:rPr>
              <w:t xml:space="preserve">Lungenerkrankungen, Krebs oder HIV. </w:t>
            </w:r>
            <w:r w:rsidR="00376BA6">
              <w:rPr>
                <w:rFonts w:ascii="Arial" w:hAnsi="Arial" w:cs="Arial"/>
              </w:rPr>
              <w:t xml:space="preserve"> </w:t>
            </w:r>
          </w:p>
        </w:tc>
      </w:tr>
      <w:tr w:rsidR="0054151C" w14:paraId="3FFB8178" w14:textId="77777777" w:rsidTr="00DF3F75">
        <w:trPr>
          <w:trHeight w:val="184"/>
          <w:jc w:val="center"/>
        </w:trPr>
        <w:tc>
          <w:tcPr>
            <w:tcW w:w="10759" w:type="dxa"/>
            <w:gridSpan w:val="7"/>
            <w:shd w:val="clear" w:color="auto" w:fill="70AD47" w:themeFill="accent6"/>
          </w:tcPr>
          <w:p w14:paraId="11032051" w14:textId="77777777" w:rsidR="0054151C" w:rsidRPr="00CE1D1F" w:rsidRDefault="0054151C" w:rsidP="0054151C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54151C" w14:paraId="39EBEF39" w14:textId="77777777" w:rsidTr="00DF3F75">
        <w:trPr>
          <w:jc w:val="center"/>
        </w:trPr>
        <w:tc>
          <w:tcPr>
            <w:tcW w:w="1620" w:type="dxa"/>
            <w:shd w:val="clear" w:color="auto" w:fill="FFFFFF"/>
          </w:tcPr>
          <w:p w14:paraId="2EA2B25C" w14:textId="0B7D449A" w:rsidR="0054151C" w:rsidRDefault="00ED5F5C" w:rsidP="0054151C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95D902" wp14:editId="08056B5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845820</wp:posOffset>
                  </wp:positionV>
                  <wp:extent cx="795020" cy="771525"/>
                  <wp:effectExtent l="0" t="0" r="5080" b="952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EE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3B6FED" wp14:editId="13433D2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2027555</wp:posOffset>
                  </wp:positionV>
                  <wp:extent cx="719455" cy="719455"/>
                  <wp:effectExtent l="0" t="0" r="4445" b="4445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A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89F521" wp14:editId="2CB01EE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41910</wp:posOffset>
                  </wp:positionV>
                  <wp:extent cx="720000" cy="720000"/>
                  <wp:effectExtent l="0" t="0" r="4445" b="4445"/>
                  <wp:wrapNone/>
                  <wp:docPr id="2" name="Bild 2" descr="Bildergebnis für symbol richtiges husten oder nies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ymbol richtiges husten oder ni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79" w:type="dxa"/>
            <w:gridSpan w:val="5"/>
            <w:shd w:val="clear" w:color="auto" w:fill="FFFFFF"/>
          </w:tcPr>
          <w:p w14:paraId="53FFACE2" w14:textId="77777777" w:rsidR="00436DEE" w:rsidRPr="001256D3" w:rsidRDefault="00436DEE" w:rsidP="00625EE3">
            <w:pPr>
              <w:widowControl w:val="0"/>
              <w:numPr>
                <w:ilvl w:val="0"/>
                <w:numId w:val="2"/>
              </w:numPr>
              <w:adjustRightInd w:val="0"/>
              <w:spacing w:before="60"/>
              <w:ind w:left="357" w:hanging="35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>Abstand halten</w:t>
            </w:r>
          </w:p>
          <w:p w14:paraId="5589A320" w14:textId="03E7E6BC" w:rsidR="007E6A13" w:rsidRPr="002B7D37" w:rsidRDefault="007E6A13" w:rsidP="002B7D37">
            <w:pPr>
              <w:widowControl w:val="0"/>
              <w:adjustRightInd w:val="0"/>
              <w:ind w:left="37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7D37">
              <w:rPr>
                <w:rFonts w:ascii="Calibri" w:hAnsi="Calibri" w:cs="Calibri"/>
                <w:sz w:val="22"/>
                <w:szCs w:val="22"/>
              </w:rPr>
              <w:t>Meiden Sie während ansteckender Phasen größere Personengruppen.</w:t>
            </w:r>
            <w:r w:rsidRPr="002B7D37">
              <w:rPr>
                <w:rFonts w:ascii="Calibri" w:hAnsi="Calibri" w:cs="Calibri"/>
                <w:sz w:val="22"/>
                <w:szCs w:val="22"/>
              </w:rPr>
              <w:br/>
              <w:t>Vermeiden Sie unnötige Hautkontakte</w:t>
            </w:r>
            <w:r w:rsidR="00436DEE" w:rsidRPr="002B7D37">
              <w:rPr>
                <w:rFonts w:ascii="Calibri" w:hAnsi="Calibri" w:cs="Calibri"/>
                <w:sz w:val="22"/>
                <w:szCs w:val="22"/>
              </w:rPr>
              <w:t>, Händeschütteln</w:t>
            </w:r>
            <w:r w:rsidR="002B7D37">
              <w:rPr>
                <w:rFonts w:ascii="Calibri" w:hAnsi="Calibri" w:cs="Calibri"/>
                <w:sz w:val="22"/>
                <w:szCs w:val="22"/>
              </w:rPr>
              <w:t xml:space="preserve"> und Körperkontakt.</w:t>
            </w:r>
          </w:p>
          <w:p w14:paraId="1915B4CB" w14:textId="4B8201BE" w:rsidR="0054151C" w:rsidRPr="001256D3" w:rsidRDefault="00376BA6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>Regelmäßig</w:t>
            </w:r>
            <w:r w:rsidR="00E53DCA"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gründlich Händewaschen </w:t>
            </w:r>
          </w:p>
          <w:p w14:paraId="45EDA745" w14:textId="01E81395" w:rsidR="00E53DCA" w:rsidRDefault="00E53DCA" w:rsidP="008B007A">
            <w:pPr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256D3">
              <w:rPr>
                <w:rFonts w:ascii="Calibri" w:hAnsi="Calibri" w:cs="Calibri"/>
                <w:sz w:val="22"/>
                <w:szCs w:val="22"/>
              </w:rPr>
              <w:t xml:space="preserve">Hände von allen Seiten </w:t>
            </w:r>
            <w:r w:rsidR="002B7D37">
              <w:rPr>
                <w:rFonts w:ascii="Calibri" w:hAnsi="Calibri" w:cs="Calibri"/>
                <w:sz w:val="22"/>
                <w:szCs w:val="22"/>
              </w:rPr>
              <w:t xml:space="preserve">bis zum Handgelenk </w:t>
            </w:r>
            <w:r w:rsidRPr="001256D3">
              <w:rPr>
                <w:rFonts w:ascii="Calibri" w:hAnsi="Calibri" w:cs="Calibri"/>
                <w:sz w:val="22"/>
                <w:szCs w:val="22"/>
              </w:rPr>
              <w:t>mit Seife einreiben und 20-30 Sekunden unter fließendem Wasser verteilen.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256D3">
              <w:rPr>
                <w:rFonts w:ascii="Calibri" w:hAnsi="Calibri" w:cs="Calibri"/>
                <w:sz w:val="22"/>
                <w:szCs w:val="22"/>
              </w:rPr>
              <w:t>Anschließend die Hände mit einem trockenem und sauberen Papiertuch abtrocknen.</w:t>
            </w:r>
          </w:p>
          <w:p w14:paraId="5C861A8D" w14:textId="3F43DD5F" w:rsidR="008B007A" w:rsidRPr="001256D3" w:rsidRDefault="002B7D37" w:rsidP="00E53DCA">
            <w:pPr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Hände-Desinfektionsmittel benutzen, wenn keine Möglichkeit zum Waschen der Hände b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steht.</w:t>
            </w:r>
          </w:p>
          <w:p w14:paraId="56EFF67E" w14:textId="26517D62" w:rsidR="0054151C" w:rsidRPr="001256D3" w:rsidRDefault="00E53DCA" w:rsidP="00376BA6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Hände aus dem Gesicht </w:t>
            </w:r>
            <w:r w:rsidR="00C133B1"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>fernhalten</w:t>
            </w:r>
          </w:p>
          <w:p w14:paraId="6B5D21CB" w14:textId="68E2A123" w:rsidR="00E53DCA" w:rsidRPr="001256D3" w:rsidRDefault="00E53DCA" w:rsidP="00E53DCA">
            <w:pPr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256D3">
              <w:rPr>
                <w:rFonts w:ascii="Calibri" w:hAnsi="Calibri" w:cs="Calibri"/>
                <w:sz w:val="22"/>
                <w:szCs w:val="22"/>
              </w:rPr>
              <w:t>Fahren Sie nicht mit ungewaschenen Händen im Gesicht herum.</w:t>
            </w:r>
          </w:p>
          <w:p w14:paraId="0D5F7969" w14:textId="29905FBB" w:rsidR="008B007A" w:rsidRPr="001256D3" w:rsidRDefault="00E53DCA" w:rsidP="00E53DCA">
            <w:pPr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256D3">
              <w:rPr>
                <w:rFonts w:ascii="Calibri" w:hAnsi="Calibri" w:cs="Calibri"/>
                <w:sz w:val="22"/>
                <w:szCs w:val="22"/>
              </w:rPr>
              <w:t xml:space="preserve">Berühren Sie nicht mit 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ungewaschenen</w:t>
            </w:r>
            <w:r w:rsidRPr="001256D3">
              <w:rPr>
                <w:rFonts w:ascii="Calibri" w:hAnsi="Calibri" w:cs="Calibri"/>
                <w:sz w:val="22"/>
                <w:szCs w:val="22"/>
              </w:rPr>
              <w:t xml:space="preserve"> H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änden</w:t>
            </w:r>
            <w:r w:rsidRPr="001256D3">
              <w:rPr>
                <w:rFonts w:ascii="Calibri" w:hAnsi="Calibri" w:cs="Calibri"/>
                <w:sz w:val="22"/>
                <w:szCs w:val="22"/>
              </w:rPr>
              <w:t>, Nase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, Augen oder Mund.</w:t>
            </w:r>
          </w:p>
          <w:p w14:paraId="35BCEEF6" w14:textId="36978089" w:rsidR="00E53DCA" w:rsidRPr="001256D3" w:rsidRDefault="00E53DCA" w:rsidP="00E53DCA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56D3">
              <w:rPr>
                <w:rFonts w:ascii="Calibri" w:hAnsi="Calibri" w:cs="Calibri"/>
                <w:b/>
                <w:bCs/>
                <w:sz w:val="22"/>
                <w:szCs w:val="22"/>
              </w:rPr>
              <w:t>Verhalten bei Husten oder Niesen</w:t>
            </w:r>
          </w:p>
          <w:p w14:paraId="05AB3B7E" w14:textId="2E0D8D87" w:rsidR="008B007A" w:rsidRPr="001256D3" w:rsidRDefault="00E53DCA" w:rsidP="00436DEE">
            <w:pPr>
              <w:pStyle w:val="Listenabsatz"/>
              <w:widowControl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256D3">
              <w:rPr>
                <w:rFonts w:ascii="Calibri" w:hAnsi="Calibri" w:cs="Calibri"/>
                <w:sz w:val="22"/>
                <w:szCs w:val="22"/>
              </w:rPr>
              <w:t>Halten Sie beim Husten oder Niesen Abstand zu and</w:t>
            </w:r>
            <w:r w:rsidR="00D03FFF" w:rsidRPr="001256D3">
              <w:rPr>
                <w:rFonts w:ascii="Calibri" w:hAnsi="Calibri" w:cs="Calibri"/>
                <w:sz w:val="22"/>
                <w:szCs w:val="22"/>
              </w:rPr>
              <w:t>e</w:t>
            </w:r>
            <w:r w:rsidRPr="001256D3">
              <w:rPr>
                <w:rFonts w:ascii="Calibri" w:hAnsi="Calibri" w:cs="Calibri"/>
                <w:sz w:val="22"/>
                <w:szCs w:val="22"/>
              </w:rPr>
              <w:t>ren Personen.</w:t>
            </w:r>
            <w:r w:rsidR="00625E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256D3">
              <w:rPr>
                <w:rFonts w:ascii="Calibri" w:hAnsi="Calibri" w:cs="Calibri"/>
                <w:sz w:val="22"/>
                <w:szCs w:val="22"/>
              </w:rPr>
              <w:t xml:space="preserve">Husten 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oder Niesen Sie, wenn möglich in Papiertaschentücher oder halten Sie die Armbeuge vor Mund und Nase.</w:t>
            </w:r>
            <w:r w:rsidR="007E6A13" w:rsidRPr="001256D3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7E6A13" w:rsidRPr="001256D3">
              <w:rPr>
                <w:rFonts w:ascii="Calibri" w:hAnsi="Calibri" w:cs="Calibri"/>
                <w:sz w:val="22"/>
                <w:szCs w:val="22"/>
              </w:rPr>
              <w:t>a</w:t>
            </w:r>
            <w:r w:rsidR="007E6A13" w:rsidRPr="001256D3">
              <w:rPr>
                <w:rFonts w:ascii="Calibri" w:hAnsi="Calibri" w:cs="Calibri"/>
                <w:sz w:val="22"/>
                <w:szCs w:val="22"/>
              </w:rPr>
              <w:t>schentücher oder Papierhandtücher nur in einem gedeckelten Müllereimer</w:t>
            </w:r>
            <w:r w:rsidR="0075306A" w:rsidRPr="001256D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DC13041" w14:textId="77777777" w:rsidR="00625EE3" w:rsidRPr="00625EE3" w:rsidRDefault="008B007A" w:rsidP="00436DEE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EE3">
              <w:rPr>
                <w:rFonts w:ascii="Calibri" w:hAnsi="Calibri" w:cs="Calibri"/>
                <w:b/>
                <w:bCs/>
                <w:sz w:val="22"/>
                <w:szCs w:val="22"/>
              </w:rPr>
              <w:t>Lüften</w:t>
            </w:r>
          </w:p>
          <w:p w14:paraId="2AB262B5" w14:textId="08E87F66" w:rsidR="007A378B" w:rsidRPr="009A7DE6" w:rsidRDefault="00625EE3" w:rsidP="00A13FEB">
            <w:pPr>
              <w:pStyle w:val="Listenabsatz"/>
              <w:widowControl w:val="0"/>
              <w:adjustRightInd w:val="0"/>
              <w:spacing w:after="120"/>
              <w:ind w:left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eschlossene Arbeitsbereiche mehrmals täglich mit weit geöffnetem Fenster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lüften</w:t>
            </w:r>
            <w:r w:rsidR="008B007A" w:rsidRPr="001256D3">
              <w:rPr>
                <w:rFonts w:ascii="Calibri" w:hAnsi="Calibri" w:cs="Calibri"/>
                <w:sz w:val="22"/>
                <w:szCs w:val="22"/>
              </w:rPr>
              <w:t>.</w:t>
            </w:r>
            <w:r w:rsidR="008B007A" w:rsidRPr="00436D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14:paraId="1881782C" w14:textId="77777777" w:rsidR="0054151C" w:rsidRDefault="0054151C" w:rsidP="0054151C">
            <w:pPr>
              <w:pStyle w:val="Textkrper"/>
            </w:pPr>
          </w:p>
        </w:tc>
      </w:tr>
      <w:bookmarkEnd w:id="1"/>
      <w:tr w:rsidR="00B74172" w14:paraId="7474000F" w14:textId="77777777" w:rsidTr="00DF3F75">
        <w:trPr>
          <w:trHeight w:val="184"/>
          <w:jc w:val="center"/>
        </w:trPr>
        <w:tc>
          <w:tcPr>
            <w:tcW w:w="10759" w:type="dxa"/>
            <w:gridSpan w:val="7"/>
            <w:shd w:val="clear" w:color="auto" w:fill="70AD47" w:themeFill="accent6"/>
          </w:tcPr>
          <w:p w14:paraId="1F8961A7" w14:textId="2604EB8F" w:rsidR="00B74172" w:rsidRPr="00CE1D1F" w:rsidRDefault="00E12BF7" w:rsidP="00080C77">
            <w:pPr>
              <w:pStyle w:val="berschrift5"/>
              <w:spacing w:before="40" w:after="40"/>
            </w:pPr>
            <w:r>
              <w:t>Erste Hilfe</w:t>
            </w:r>
          </w:p>
        </w:tc>
      </w:tr>
      <w:tr w:rsidR="00B74172" w14:paraId="657CD3DF" w14:textId="77777777" w:rsidTr="00A13FEB">
        <w:trPr>
          <w:trHeight w:val="1515"/>
          <w:jc w:val="center"/>
        </w:trPr>
        <w:tc>
          <w:tcPr>
            <w:tcW w:w="10759" w:type="dxa"/>
            <w:gridSpan w:val="7"/>
            <w:shd w:val="clear" w:color="auto" w:fill="auto"/>
          </w:tcPr>
          <w:p w14:paraId="46261B9A" w14:textId="580571A4" w:rsidR="00A13FEB" w:rsidRPr="00A13FEB" w:rsidRDefault="00A02AE5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1256D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3D00ECE" wp14:editId="5B40C6E4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141605</wp:posOffset>
                  </wp:positionV>
                  <wp:extent cx="647700" cy="654685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BF7" w:rsidRPr="001256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Verhalten bei Symptomen:</w:t>
            </w:r>
            <w:r w:rsidR="00A13F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13FEB" w:rsidRPr="00A13FE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Personen, die persönlichen Kontakt zu einer Person hatten, bei der SARS-CoV-2 nachgewiesen wurde, sollten sich unverzüglich und unabhängig von Symptomen mit dem z</w:t>
            </w:r>
            <w:r w:rsidR="00A13FEB" w:rsidRPr="00A13FE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u</w:t>
            </w:r>
            <w:r w:rsidR="00A13FEB" w:rsidRPr="00A13FE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ständigen Gesundheitsamt in Verbindung setzen, einen Arzt kontaktieren oder die 116117 anrufen - und zu Hause bleiben.</w:t>
            </w:r>
          </w:p>
          <w:p w14:paraId="2422AC3A" w14:textId="55AC458E" w:rsidR="00E12BF7" w:rsidRPr="005C1A12" w:rsidRDefault="005C1A12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Personen, die den Verdacht haben, sich mit SARS-CoV-2 infiziert zu haben, sollten (nach telefon</w:t>
            </w:r>
            <w:r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</w:t>
            </w:r>
            <w:r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scher Anmeldung) ihre Ärztin bzw. ihren Arzt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oder ein Krankenhaus </w:t>
            </w:r>
            <w:r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aufsuchen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7E6A13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B</w:t>
            </w:r>
            <w:r w:rsidR="00A02AE5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eachten Sie weitere Anweisungen vom Arzt</w:t>
            </w:r>
            <w:r w:rsidR="00A02AE5"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7E6A13" w:rsidRP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Informieren Sie umgehend die Geschäftsführung</w:t>
            </w:r>
            <w:r w:rsidR="007E6A13" w:rsidRPr="005C1A12">
              <w:rPr>
                <w:b w:val="0"/>
                <w:bCs w:val="0"/>
                <w:color w:val="auto"/>
                <w:szCs w:val="24"/>
              </w:rPr>
              <w:t>.</w:t>
            </w:r>
          </w:p>
          <w:p w14:paraId="26033E61" w14:textId="1D98AC73" w:rsidR="008925CE" w:rsidRPr="008925CE" w:rsidRDefault="00E12BF7" w:rsidP="00625EE3">
            <w:pPr>
              <w:pStyle w:val="berschrift5"/>
              <w:spacing w:before="80" w:after="80"/>
              <w:ind w:left="1582"/>
              <w:jc w:val="left"/>
              <w:rPr>
                <w:szCs w:val="24"/>
              </w:rPr>
            </w:pPr>
            <w:r w:rsidRPr="001256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Selbstschutz beachten:</w:t>
            </w: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B47732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Verwenden Sie Handschuhe und Atemschutzmaske beim Umgang mit E</w:t>
            </w:r>
            <w:r w:rsidR="00B47732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r</w:t>
            </w:r>
            <w:r w:rsidR="00B47732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krankten. Ist dies nicht möglich versuchen Sie Abstand zu halten.</w:t>
            </w:r>
          </w:p>
        </w:tc>
      </w:tr>
      <w:tr w:rsidR="00C133B1" w14:paraId="02F78E7F" w14:textId="77777777" w:rsidTr="005C1A12">
        <w:trPr>
          <w:trHeight w:val="883"/>
          <w:jc w:val="center"/>
        </w:trPr>
        <w:tc>
          <w:tcPr>
            <w:tcW w:w="10759" w:type="dxa"/>
            <w:gridSpan w:val="7"/>
            <w:shd w:val="clear" w:color="auto" w:fill="auto"/>
          </w:tcPr>
          <w:tbl>
            <w:tblPr>
              <w:tblW w:w="10886" w:type="dxa"/>
              <w:jc w:val="center"/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886"/>
            </w:tblGrid>
            <w:tr w:rsidR="00C133B1" w:rsidRPr="008D6395" w14:paraId="14441767" w14:textId="77777777" w:rsidTr="00E3641C">
              <w:trPr>
                <w:trHeight w:val="80"/>
                <w:jc w:val="center"/>
              </w:trPr>
              <w:tc>
                <w:tcPr>
                  <w:tcW w:w="10471" w:type="dxa"/>
                  <w:shd w:val="clear" w:color="auto" w:fill="70AD47" w:themeFill="accent6"/>
                </w:tcPr>
                <w:p w14:paraId="49F69878" w14:textId="5D8498EF" w:rsidR="00C133B1" w:rsidRPr="008D6395" w:rsidRDefault="00C133B1" w:rsidP="00625EE3">
                  <w:pPr>
                    <w:pStyle w:val="berschrift5"/>
                    <w:spacing w:before="0" w:after="40"/>
                  </w:pPr>
                  <w:r>
                    <w:t>Sachgerechte Entsorgung</w:t>
                  </w:r>
                </w:p>
              </w:tc>
            </w:tr>
          </w:tbl>
          <w:p w14:paraId="030C1E6B" w14:textId="0BD7160C" w:rsidR="00C133B1" w:rsidRPr="001256D3" w:rsidRDefault="009A7DE6" w:rsidP="005C1A12">
            <w:pPr>
              <w:pStyle w:val="berschrift5"/>
              <w:spacing w:before="80" w:after="80"/>
              <w:ind w:left="22"/>
              <w:jc w:val="left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Abfall in flüssigkeitsdichten Kunststoffbeuteln sachgerecht entsorgen.</w:t>
            </w:r>
            <w:r w:rsid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256D3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Abfälle nicht zwischenlagern.</w:t>
            </w:r>
          </w:p>
        </w:tc>
      </w:tr>
      <w:tr w:rsidR="001263F1" w14:paraId="31AD8303" w14:textId="77777777" w:rsidTr="00DF3F75">
        <w:trPr>
          <w:trHeight w:val="184"/>
          <w:jc w:val="center"/>
        </w:trPr>
        <w:tc>
          <w:tcPr>
            <w:tcW w:w="10759" w:type="dxa"/>
            <w:gridSpan w:val="7"/>
            <w:shd w:val="clear" w:color="auto" w:fill="70AD47" w:themeFill="accent6"/>
          </w:tcPr>
          <w:p w14:paraId="356D0033" w14:textId="6A12C36A" w:rsidR="001263F1" w:rsidRDefault="001263F1" w:rsidP="00F53E67">
            <w:pPr>
              <w:pStyle w:val="berschrift5"/>
              <w:spacing w:before="40" w:after="40"/>
            </w:pPr>
            <w:r>
              <w:t>Verantwortlicher</w:t>
            </w:r>
          </w:p>
        </w:tc>
      </w:tr>
      <w:tr w:rsidR="001263F1" w14:paraId="7CEA49B4" w14:textId="77777777" w:rsidTr="00DF3F75">
        <w:trPr>
          <w:trHeight w:val="539"/>
          <w:jc w:val="center"/>
        </w:trPr>
        <w:tc>
          <w:tcPr>
            <w:tcW w:w="10759" w:type="dxa"/>
            <w:gridSpan w:val="7"/>
            <w:shd w:val="clear" w:color="auto" w:fill="auto"/>
          </w:tcPr>
          <w:p w14:paraId="48BC5A8A" w14:textId="37670B74" w:rsidR="001263F1" w:rsidRPr="001256D3" w:rsidRDefault="001263F1" w:rsidP="005C1A12">
            <w:pPr>
              <w:pStyle w:val="berschrift5"/>
              <w:spacing w:before="80" w:after="8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</w:pP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 xml:space="preserve">Datum: </w:t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Verantwortlich</w:t>
            </w: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:</w:t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 xml:space="preserve"> Unterschrift:</w:t>
            </w:r>
          </w:p>
        </w:tc>
      </w:tr>
    </w:tbl>
    <w:p w14:paraId="54B6B72C" w14:textId="431A7BF8" w:rsidR="0054151C" w:rsidRPr="004E6653" w:rsidRDefault="0054151C" w:rsidP="00ED5F5C">
      <w:pPr>
        <w:rPr>
          <w:rFonts w:ascii="Arial" w:hAnsi="Arial" w:cs="Arial"/>
          <w:b/>
          <w:bCs/>
          <w:sz w:val="22"/>
          <w:u w:val="single"/>
        </w:rPr>
      </w:pPr>
    </w:p>
    <w:sectPr w:rsidR="0054151C" w:rsidRPr="004E6653" w:rsidSect="00ED5F5C">
      <w:footerReference w:type="default" r:id="rId13"/>
      <w:pgSz w:w="11909" w:h="16834" w:code="9"/>
      <w:pgMar w:top="680" w:right="851" w:bottom="680" w:left="1021" w:header="709" w:footer="6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61F50" w14:textId="77777777" w:rsidR="00626C30" w:rsidRDefault="00626C30">
      <w:r>
        <w:separator/>
      </w:r>
    </w:p>
  </w:endnote>
  <w:endnote w:type="continuationSeparator" w:id="0">
    <w:p w14:paraId="567C50BF" w14:textId="77777777" w:rsidR="00626C30" w:rsidRDefault="0062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3786" w14:textId="7B0DB11F" w:rsidR="0054151C" w:rsidRPr="00ED5F5C" w:rsidRDefault="00ED5F5C" w:rsidP="00ED5F5C">
    <w:pPr>
      <w:pStyle w:val="Fuzeile"/>
      <w:ind w:left="-284"/>
      <w:rPr>
        <w:rFonts w:asciiTheme="minorHAnsi" w:hAnsiTheme="minorHAnsi" w:cstheme="minorHAnsi"/>
        <w:color w:val="767171" w:themeColor="background2" w:themeShade="80"/>
        <w:sz w:val="18"/>
        <w:szCs w:val="18"/>
      </w:rPr>
    </w:pPr>
    <w:r w:rsidRPr="00ED5F5C">
      <w:rPr>
        <w:rFonts w:asciiTheme="minorHAnsi" w:hAnsiTheme="minorHAnsi" w:cstheme="minorHAnsi"/>
        <w:color w:val="767171" w:themeColor="background2" w:themeShade="80"/>
        <w:sz w:val="18"/>
        <w:szCs w:val="18"/>
      </w:rPr>
      <w:t>BASIKNET Gesellschaft für Arbeitsschutz mbH, Kalckreuthstr. 4, 10777 Berlin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B1FB" w14:textId="77777777" w:rsidR="00626C30" w:rsidRDefault="00626C30">
      <w:r>
        <w:separator/>
      </w:r>
    </w:p>
  </w:footnote>
  <w:footnote w:type="continuationSeparator" w:id="0">
    <w:p w14:paraId="27662C1D" w14:textId="77777777" w:rsidR="00626C30" w:rsidRDefault="0062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F48"/>
    <w:multiLevelType w:val="hybridMultilevel"/>
    <w:tmpl w:val="AC3034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CA66DD"/>
    <w:multiLevelType w:val="hybridMultilevel"/>
    <w:tmpl w:val="D1600BA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A909BD"/>
    <w:multiLevelType w:val="hybridMultilevel"/>
    <w:tmpl w:val="A9E067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0"/>
    <w:rsid w:val="001256D3"/>
    <w:rsid w:val="001263F1"/>
    <w:rsid w:val="00240AA5"/>
    <w:rsid w:val="002B7D37"/>
    <w:rsid w:val="00376BA6"/>
    <w:rsid w:val="00376DAB"/>
    <w:rsid w:val="003F1D0D"/>
    <w:rsid w:val="003F5322"/>
    <w:rsid w:val="00436DEE"/>
    <w:rsid w:val="004E6653"/>
    <w:rsid w:val="0054151C"/>
    <w:rsid w:val="005C1A12"/>
    <w:rsid w:val="005E06AD"/>
    <w:rsid w:val="00625EE3"/>
    <w:rsid w:val="00626C30"/>
    <w:rsid w:val="006344D4"/>
    <w:rsid w:val="00634A00"/>
    <w:rsid w:val="007324D1"/>
    <w:rsid w:val="0075306A"/>
    <w:rsid w:val="00761B1B"/>
    <w:rsid w:val="007633AB"/>
    <w:rsid w:val="007A378B"/>
    <w:rsid w:val="007C2514"/>
    <w:rsid w:val="007E6A13"/>
    <w:rsid w:val="008925CE"/>
    <w:rsid w:val="008B007A"/>
    <w:rsid w:val="008E0750"/>
    <w:rsid w:val="009276D6"/>
    <w:rsid w:val="009A7DE6"/>
    <w:rsid w:val="00A02AE5"/>
    <w:rsid w:val="00A13FEB"/>
    <w:rsid w:val="00B47732"/>
    <w:rsid w:val="00B510C4"/>
    <w:rsid w:val="00B74172"/>
    <w:rsid w:val="00B915B3"/>
    <w:rsid w:val="00C133B1"/>
    <w:rsid w:val="00D03FFF"/>
    <w:rsid w:val="00D04CC8"/>
    <w:rsid w:val="00DE546E"/>
    <w:rsid w:val="00DF3F75"/>
    <w:rsid w:val="00E10790"/>
    <w:rsid w:val="00E12BF7"/>
    <w:rsid w:val="00E21788"/>
    <w:rsid w:val="00E3641C"/>
    <w:rsid w:val="00E53DCA"/>
    <w:rsid w:val="00E8028D"/>
    <w:rsid w:val="00E83C11"/>
    <w:rsid w:val="00ED5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B7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Listenabsatz">
    <w:name w:val="List Paragraph"/>
    <w:basedOn w:val="Standard"/>
    <w:uiPriority w:val="72"/>
    <w:qFormat/>
    <w:rsid w:val="00E5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Listenabsatz">
    <w:name w:val="List Paragraph"/>
    <w:basedOn w:val="Standard"/>
    <w:uiPriority w:val="72"/>
    <w:qFormat/>
    <w:rsid w:val="00E5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basiknet betriebsanweisung corona</vt:lpstr>
      <vt:lpstr>Ergonomie</vt:lpstr>
    </vt:vector>
  </TitlesOfParts>
  <Company/>
  <LinksUpToDate>false</LinksUpToDate>
  <CharactersWithSpaces>2752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basiknet betriebsanweisung corona</dc:title>
  <dc:creator>basiknet</dc:creator>
  <cp:lastModifiedBy>User</cp:lastModifiedBy>
  <cp:revision>2</cp:revision>
  <cp:lastPrinted>2020-03-18T07:05:00Z</cp:lastPrinted>
  <dcterms:created xsi:type="dcterms:W3CDTF">2020-03-19T08:20:00Z</dcterms:created>
  <dcterms:modified xsi:type="dcterms:W3CDTF">2020-03-19T08:20:00Z</dcterms:modified>
</cp:coreProperties>
</file>